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microct-ana-unibe-ch/microvasculature-manuscript@99741fb</w:t>
        </w:r>
      </w:hyperlink>
      <w:r>
        <w:t xml:space="preserve"> </w:t>
      </w:r>
      <w:r>
        <w:t xml:space="preserve">on June 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56</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55</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55</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55</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These pre-mixed components were then mixed with a hardener immediately before instillation into the cannulated vascular system of the animals.</w:t>
      </w:r>
      <w:r>
        <w:t xml:space="preserve"> </w:t>
      </w:r>
      <w:r>
        <w:t xml:space="preserve">The correct mixing ratio is set by the syringe size in the commercially available μAngiofil sets.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57</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 [#Introduction], we imaged the μAngiofil-instilled minipig hemimandibula with increased acceleration voltage ona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55</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allows us to directly assess vascularization and bone growth based on a single microCT scan (Fig.</w:t>
      </w:r>
      <w:r>
        <w:t xml:space="preserve"> </w:t>
      </w:r>
      <w:hyperlink w:anchor="fig:6">
        <w:r>
          <w:rPr>
            <w:rStyle w:val="Hyperlink"/>
          </w:rPr>
          <w:t xml:space="preserve">6</w:t>
        </w:r>
      </w:hyperlink>
      <w:r>
        <w:t xml:space="preserve">). Although finding the optimal scanning parameters may require some expertise and machine time, the single scan approach should be aimed for. While being sufficiently effecient in most cases, in some situations the single scan approach does not always yield optimal results (e.g., Fig.</w:t>
      </w:r>
      <w:r>
        <w:t xml:space="preserve"> </w:t>
      </w:r>
      <w:hyperlink w:anchor="fig:4">
        <w:r>
          <w:rPr>
            <w:rStyle w:val="Hyperlink"/>
          </w:rPr>
          <w:t xml:space="preserve">4</w:t>
        </w:r>
      </w:hyperlink>
      <w:r>
        <w:t xml:space="preserve">) and may lead to difficulties with segmentation and subsequent image analysis. Based on our experience, it is paramount to have as distinctive imaging of various components of the studied samples as possible to aid in further image analysis. 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It is advisable to conduct two sequential different energy scans without removing the sample. In this way the dataset registration needed for dual-energy approach is simplified. Altogether, this allows to avoid the time-consuming decalcification step, and provides simultaneous imaging of bone and vasculature while keeping the sample intact.</w:t>
      </w:r>
    </w:p>
    <w:p>
      <w:pPr>
        <w:pStyle w:val="BodyText"/>
      </w:pPr>
      <w:r>
        <w:t xml:space="preserve">One of the noteworthy applications of the microangioCT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54</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55</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55</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6" w:name="references"/>
    <w:p>
      <w:pPr>
        <w:pStyle w:val="Heading2"/>
      </w:pPr>
      <w:r>
        <w:t xml:space="preserve">References</w:t>
      </w:r>
    </w:p>
    <w:bookmarkStart w:id="265"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rbusfP1i"/>
    <w:p>
      <w:pPr>
        <w:pStyle w:val="Bibliography"/>
      </w:pPr>
      <w:r>
        <w:t xml:space="preserve">[54]</w:t>
      </w:r>
      <w:r>
        <w:t xml:space="preserve"> </w:t>
      </w:r>
      <w:r>
        <w:t xml:space="preserve">	</w:t>
      </w:r>
      <w:r>
        <w:t xml:space="preserve">E. Yagis, S. Aslani, Y. Jain, Y. Zhou, S. Rahmani, J. Brunet, A. Bellier, C. Werlein, M. Ackermann, D. Jonigk, P. Tafforeau, P.D. Lee, C.L. Walsh,</w:t>
      </w:r>
      <w:r>
        <w:t xml:space="preserve"> </w:t>
      </w:r>
      <w:hyperlink r:id="rId257">
        <w:r>
          <w:rPr>
            <w:rStyle w:val="Hyperlink"/>
          </w:rPr>
          <w:t xml:space="preserve">Deep learning for 3D vascular segmentation in hierarchical phase contrast tomography: a case study on kidney</w:t>
        </w:r>
      </w:hyperlink>
      <w:r>
        <w:t xml:space="preserve">, Sci Rep 14 (2024).</w:t>
      </w:r>
    </w:p>
    <w:bookmarkEnd w:id="258"/>
    <w:bookmarkStart w:id="260" w:name="ref-11349lK8v"/>
    <w:p>
      <w:pPr>
        <w:pStyle w:val="Bibliography"/>
      </w:pPr>
      <w:r>
        <w:t xml:space="preserve">[55]</w:t>
      </w:r>
      <w:r>
        <w:t xml:space="preserve"> </w:t>
      </w:r>
      <w:r>
        <w:t xml:space="preserve">	</w:t>
      </w:r>
      <w:r>
        <w:t xml:space="preserve">Y. Yi, Y. Men, D. Jing, W. Luo, S. Zhang, J.Q. Feng, J. Liu, W. Ge, J. Wang, H. Zhao,</w:t>
      </w:r>
      <w:r>
        <w:t xml:space="preserve"> </w:t>
      </w:r>
      <w:hyperlink r:id="rId259">
        <w:r>
          <w:rPr>
            <w:rStyle w:val="Hyperlink"/>
          </w:rPr>
          <w:t xml:space="preserve">3‐dimensional visualization of implant‐tissue interface with the polyethylene glycol associated solvent system tissue clearing method</w:t>
        </w:r>
      </w:hyperlink>
      <w:r>
        <w:t xml:space="preserve">, Cell Proliferation 52 (2019).</w:t>
      </w:r>
    </w:p>
    <w:bookmarkEnd w:id="260"/>
    <w:bookmarkStart w:id="262" w:name="ref-13YRlKdu2"/>
    <w:p>
      <w:pPr>
        <w:pStyle w:val="Bibliography"/>
      </w:pPr>
      <w:r>
        <w:t xml:space="preserve">[56]</w:t>
      </w:r>
      <w:r>
        <w:t xml:space="preserve"> </w:t>
      </w:r>
      <w:r>
        <w:t xml:space="preserve">	</w:t>
      </w:r>
      <w:r>
        <w:t xml:space="preserve">S. Young, J.D. Kretlow, C. Nguyen, A.G. Bashoura, L.S. Baggett, J.A. Jansen, M. Wong, A.G. Mikos,</w:t>
      </w:r>
      <w:r>
        <w:t xml:space="preserve"> </w:t>
      </w:r>
      <w:hyperlink r:id="rId261">
        <w:r>
          <w:rPr>
            <w:rStyle w:val="Hyperlink"/>
          </w:rPr>
          <w:t xml:space="preserve">Microcomputed Tomography Characterization of Neovascularization in Bone Tissue Engineering Applications</w:t>
        </w:r>
      </w:hyperlink>
      <w:r>
        <w:t xml:space="preserve">, Tissue Engineering Part B: Reviews 14 (2008) 295–306.</w:t>
      </w:r>
    </w:p>
    <w:bookmarkEnd w:id="262"/>
    <w:bookmarkStart w:id="264" w:name="ref-C9ratYNO"/>
    <w:p>
      <w:pPr>
        <w:pStyle w:val="Bibliography"/>
      </w:pPr>
      <w:r>
        <w:t xml:space="preserve">[57]</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3">
        <w:r>
          <w:rPr>
            <w:rStyle w:val="Hyperlink"/>
          </w:rPr>
          <w:t xml:space="preserve">Therapeutic Targeting of CD146/MCAM Reduces Bone Metastasis in Prostate Cancer</w:t>
        </w:r>
      </w:hyperlink>
      <w:r>
        <w:t xml:space="preserve">, Molecular Cancer Research 17 (2019) 1049–1062.</w:t>
      </w:r>
    </w:p>
    <w:bookmarkEnd w:id="264"/>
    <w:bookmarkEnd w:id="265"/>
    <w:bookmarkEnd w:id="26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57" Target="https://doi.org/10.1038/s41598-024-7758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61"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9"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3"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99741fbe647791177c0e1ddd81690aaa45bc91b6#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99741fbe647791177c0e1ddd81690aaa45bc91b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99741fbe647791177c0e1ddd81690aaa45bc91b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57" Target="https://doi.org/10.1038/s41598-024-7758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61"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9"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3"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99741fbe647791177c0e1ddd81690aaa45bc91b6#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99741fbe647791177c0e1ddd81690aaa45bc91b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99741fbe647791177c0e1ddd81690aaa45bc91b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2025-06-06T10:03:53Z</dcterms:created>
  <dcterms:modified xsi:type="dcterms:W3CDTF">2025-06-06T10:03:53Z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